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62" w:rsidRPr="009E2862" w:rsidRDefault="009E2862" w:rsidP="009E28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ОТЧЕТ О РЕЗУЛЬТАТАХ ДЕЯТЕЛЬНОСТИ ФИНАНСОВОГО УПРАВЛЕНИЯ АДМИНИСТРАЦИИ БРЯНСКОГО РАЙОНА ЗА 2021 ГОД</w:t>
      </w:r>
    </w:p>
    <w:p w:rsidR="009E2862" w:rsidRDefault="009E2862" w:rsidP="00634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9E2862" w:rsidRDefault="009E2862" w:rsidP="00634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Финансовое управление администрации Брянского района является отраслевым подразделением исполнительно-распорядительного органа местного самоуправления – администрация Брянского района, обеспечивающим проведение единой финансовой, бюджетной, налоговой, экономической и долговой политики на территории Брянского муниципального района Брянской области и координирует деятельность в этой сфере 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органов местного самоуправления сельских поселений Брянского района Брянской области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          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своей деятельности финансовое управление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и инструкциями Министерства финансов Российской Федерации, Уставом Брянской области, законами Брянской области, нормативными правовыми актами Губернатора и Правительства Брянской области, Брянской областной Думы, Уставом Брянского муниципального района, нормативными правовыми актами администрации Брянского района и Брянского районного Совета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народных депутатов, Положением о финансовом управлении администрации Брянского района, утвержденным решением Брянского  районного Совета народных депутатов от 29.12.2016г. № 5-35-10.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Финансовое управление администрации Брянского района, сокращенное наименование - финансовое управление. Юридический адрес: 241525, Брянская область, Брянский район, с.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Глинищево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ул. П.М.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Яшенина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д. 9.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Организационно-правовая форма – муниципальное казенное учреждение. Управление является юридическим лицом (ИНН 3207004039, ОГРН 1023202136715), имеет самостоятельный баланс, гербовую печать со своим наименованием, бланк. Для получения и расходования денежных средств в Отделе № 1 Управления Федерального казначейства по Брянской области Управлению открыт лицевой счет со следующими реквизитами: 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л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/счет – 0327006510; казначейский счет – 03231643156080002700 в ОТДЕЛЕНИЕ БРЯНСК БАНКА РОССИИ//УФК по Брянской области, г Брянск,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БИК 011501101.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Имущество учреждения является собственностью муниципального образования «Брянский муниципальный район» и закреплено за ним на праве оперативного управления.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        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Основной задачей финансового управления является: формирование и реализация единой финансовой, бюджетной, налоговой, экономической и долговой политики на территории Брянского муниципального района Брянской области в соответствии с основными направлениями, определенными на федеральном и региональном уровнях.</w:t>
      </w:r>
      <w:proofErr w:type="gramEnd"/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       Осуществляет следующие правоустанавливающие полномочия: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составляет для представления администрацией Брянского района в лице Главы администрации в Брянский районный Совет народных депутатов проекты решений Брянского районного Совета народных депутатов о бюджете муниципального района, о внесении изменений в бюджет муниципального района, необходимые документы и материалы, направляемые одновременно с ними;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- устанавливает порядок и условия предоставления межбюджетных трансфертов из бюджета Брянского муниципального района бюджетам сельских поселений, дотаций бюджетам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 xml:space="preserve">сельских поселений на выравнивание бюджетной обеспеченности из бюджетов муниципальных районов, прочих дотаций;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составляет для представления администрацией Брянского муниципального района в лице Главы администрации в Брянский районный Совет народных депутатов проекты решений Брянского районного Совета народных депутатов об исполнении бюджета муниципального района, необходимые документы, направляемые одновременно с ними;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составляет для представления администрацией Брянского района в лице Главы администрации в Брянский районный Совет народных депутатов проекты решений Брянского районного Совета народных депутатов об установлении, изменении и отмене местных налогов и сборов муниципального района, установлении ставок и предоставлении льгот по данным налогам и сборам в соответствии с законодательством Российской Федерации о налогах и сборах;</w:t>
      </w:r>
      <w:proofErr w:type="gramEnd"/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разрабатывает порядок предоставления муниципальным учреждениям субсидий на иные цели;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разрабатывает порядок ведения реестра расходных обязатель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ств Бр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янского муниципального района;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разрабатывает порядок разработки, реализации и оценки эффективности муниципальных программ района;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разрабатывает прогноз социально-экономического развития Брянского района на очередной финансовый год, среднесрочный и долгосрочный периоды;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Финансовые и хозяйственные операции по ведению учета осуществляются в соответствии с Бюджетным кодексом и действующей в учреждении учетной  политикой. 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Бюджетный учет осуществляется  учреждениями согласно приказу Минфина России от 01.12.2010 N 157н (в ред. Приказов Минфина России от 12.10.2012 </w:t>
      </w:r>
      <w:hyperlink r:id="rId5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134н</w:t>
        </w:r>
      </w:hyperlink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, от 29.08.2014 </w:t>
      </w:r>
      <w:hyperlink r:id="rId6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89н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06.08.2015 </w:t>
      </w:r>
      <w:hyperlink r:id="rId7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124н</w:t>
        </w:r>
      </w:hyperlink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, от 01.03.2016 </w:t>
      </w:r>
      <w:hyperlink r:id="rId8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16н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gramEnd"/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от 16.11.2016 </w:t>
      </w:r>
      <w:hyperlink r:id="rId9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209н</w:t>
        </w:r>
      </w:hyperlink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, от 27.09.2017 </w:t>
      </w:r>
      <w:hyperlink r:id="rId10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148н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31.03.2018 </w:t>
      </w:r>
      <w:hyperlink r:id="rId11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64н</w:t>
        </w:r>
      </w:hyperlink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, от 28.12.2018 </w:t>
      </w:r>
      <w:hyperlink r:id="rId12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298н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14.09.2020 </w:t>
      </w:r>
      <w:hyperlink r:id="rId13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198н</w:t>
        </w:r>
      </w:hyperlink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)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</w:t>
      </w:r>
      <w:r w:rsidRPr="00634D9C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 xml:space="preserve">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применению" (Зарегистрировано в Минюсте России 30.12.2010 N 19452), приказа</w:t>
      </w:r>
      <w:proofErr w:type="gramEnd"/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 </w:t>
      </w:r>
      <w:proofErr w:type="gramStart"/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Минфина России от 06.12.2010 N 162н (в ред. Приказов Минфина России от 24.12.2012 </w:t>
      </w:r>
      <w:hyperlink r:id="rId14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174н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17.08.2015 </w:t>
      </w:r>
      <w:hyperlink r:id="rId15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127н</w:t>
        </w:r>
      </w:hyperlink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, от 30.11.2015 </w:t>
      </w:r>
      <w:hyperlink r:id="rId16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184н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16.11.2016 </w:t>
      </w:r>
      <w:hyperlink r:id="rId17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209н</w:t>
        </w:r>
      </w:hyperlink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, от 31.10.2017 </w:t>
      </w:r>
      <w:hyperlink r:id="rId18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172н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31.03.2018 </w:t>
      </w:r>
      <w:hyperlink r:id="rId19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65н</w:t>
        </w:r>
      </w:hyperlink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, от 28.12.2018 </w:t>
      </w:r>
      <w:hyperlink r:id="rId20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>N 297н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,от 28.10.2020 </w:t>
      </w:r>
      <w:hyperlink r:id="rId21" w:history="1">
        <w:r w:rsidRPr="00634D9C">
          <w:rPr>
            <w:rFonts w:ascii="Calibri" w:eastAsia="Times New Roman" w:hAnsi="Calibri" w:cs="Calibri"/>
            <w:color w:val="000000"/>
            <w:sz w:val="26"/>
            <w:szCs w:val="24"/>
            <w:u w:val="single"/>
            <w:lang w:eastAsia="ru-RU"/>
          </w:rPr>
          <w:t xml:space="preserve">N 246н </w:t>
        </w:r>
      </w:hyperlink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) "Об утверждении Плана счетов бюджетного учета и Инструкции по его применению" (Зарегистрировано в Минюсте России 27.01.2011 N</w:t>
      </w:r>
      <w:proofErr w:type="gramEnd"/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 19593).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  </w:t>
      </w:r>
      <w:r w:rsidRPr="00634D9C">
        <w:rPr>
          <w:rFonts w:ascii="Times New Roman" w:eastAsia="Times New Roman" w:hAnsi="Times New Roman" w:cs="Times New Roman"/>
          <w:color w:val="FFC000"/>
          <w:sz w:val="26"/>
          <w:szCs w:val="24"/>
          <w:lang w:eastAsia="ru-RU"/>
        </w:rPr>
        <w:t> 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shd w:val="clear" w:color="auto" w:fill="FFFFFF"/>
          <w:lang w:eastAsia="ru-RU"/>
        </w:rPr>
        <w:t xml:space="preserve"> 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В 2021 году методом электронного аукциона было размещено 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>177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заказов на сумму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u w:val="single"/>
          <w:lang w:eastAsia="ru-RU"/>
        </w:rPr>
        <w:t>629 373 563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руб.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u w:val="single"/>
          <w:lang w:eastAsia="ru-RU"/>
        </w:rPr>
        <w:t>45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коп. (</w:t>
      </w:r>
      <w:r w:rsidRPr="00634D9C">
        <w:rPr>
          <w:rFonts w:ascii="Times New Roman" w:eastAsia="Times New Roman" w:hAnsi="Times New Roman" w:cs="Calibri"/>
          <w:i/>
          <w:color w:val="000000"/>
          <w:sz w:val="26"/>
          <w:szCs w:val="24"/>
          <w:lang w:eastAsia="ru-RU"/>
        </w:rPr>
        <w:t>Шестьсот двадцать девять миллионов триста семьдесят три тысячи пятьсот шестьдесят три рубля 45 копеек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).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Из них 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>122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заказа состоялось на сумму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u w:val="single"/>
          <w:lang w:eastAsia="ru-RU"/>
        </w:rPr>
        <w:t>553 083 788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руб.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u w:val="single"/>
          <w:lang w:eastAsia="ru-RU"/>
        </w:rPr>
        <w:t>19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коп. (</w:t>
      </w:r>
      <w:r w:rsidRPr="00634D9C">
        <w:rPr>
          <w:rFonts w:ascii="Times New Roman" w:eastAsia="Times New Roman" w:hAnsi="Times New Roman" w:cs="Calibri"/>
          <w:i/>
          <w:color w:val="000000"/>
          <w:sz w:val="26"/>
          <w:szCs w:val="24"/>
          <w:lang w:eastAsia="ru-RU"/>
        </w:rPr>
        <w:t>Пятьсот пятьдесят три миллиона восемьдесят три тысячи семьсот восемьдесят восемь рублей 19 копеек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) и было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 xml:space="preserve">заключено 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>122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муниципальных контракта на сумму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u w:val="single"/>
          <w:lang w:eastAsia="ru-RU"/>
        </w:rPr>
        <w:t>524 178 907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руб.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u w:val="single"/>
          <w:lang w:eastAsia="ru-RU"/>
        </w:rPr>
        <w:t>26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коп. (</w:t>
      </w:r>
      <w:r w:rsidRPr="00634D9C">
        <w:rPr>
          <w:rFonts w:ascii="Times New Roman" w:eastAsia="Times New Roman" w:hAnsi="Times New Roman" w:cs="Calibri"/>
          <w:i/>
          <w:color w:val="000000"/>
          <w:sz w:val="26"/>
          <w:szCs w:val="24"/>
          <w:lang w:eastAsia="ru-RU"/>
        </w:rPr>
        <w:t>Пятьсот двадцать четыре миллиона сто семьдесят восемь тысяч девятьсот семь рублей 26 копеек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).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Экономия составила 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>5,2%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на сумму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u w:val="single"/>
          <w:lang w:eastAsia="ru-RU"/>
        </w:rPr>
        <w:t>28 904 880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руб.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u w:val="single"/>
          <w:lang w:eastAsia="ru-RU"/>
        </w:rPr>
        <w:t>93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коп. (</w:t>
      </w:r>
      <w:r w:rsidRPr="00634D9C">
        <w:rPr>
          <w:rFonts w:ascii="Times New Roman" w:eastAsia="Times New Roman" w:hAnsi="Times New Roman" w:cs="Calibri"/>
          <w:i/>
          <w:color w:val="000000"/>
          <w:sz w:val="26"/>
          <w:szCs w:val="24"/>
          <w:lang w:eastAsia="ru-RU"/>
        </w:rPr>
        <w:t>Двадцать восемь миллионов девятьсот четыре тысячи восемьсот восемьдесят рублей 93 копейки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).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      Проведено 13 проверок целевого использования средств на осуществление первичного воинского учета на территориях, где отсутствуют военные комиссариаты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,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как органом внутреннего муниципального финансового контроля «Брянский муниципальный район», 6 проверок соблюдения законодательства РФ и иных нормативно правовых актов о контрактной системе в сфере закупок (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Новосельская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с/а,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Свенская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с/а,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Отрадненская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с/а,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Супоневская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с/а,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Журиничская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с/а,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Нетьинская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с/а) и 4 проверки исполнения бюджетных полномочий в части организации и реализации мероприятий по внутреннему муниципальному финансовому контролю (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Глинищевская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/а,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Свенская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с/а,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Супоневская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с/а,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Отрадненская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с/а).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Финансовое управление возглавляет заместитель главы администрации Брянского района - начальник финансового управления, назначаемый и освобождаемый от должности главой администрации Брянского района по согласованию с департаментом финансов Брянской области (далее – руководитель управления).</w:t>
      </w:r>
    </w:p>
    <w:p w:rsidR="00634D9C" w:rsidRPr="00634D9C" w:rsidRDefault="00634D9C" w:rsidP="009E2862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        </w:t>
      </w:r>
      <w:r w:rsidRPr="00634D9C">
        <w:rPr>
          <w:rFonts w:ascii="Arial Black" w:eastAsia="Times New Roman" w:hAnsi="Arial Black" w:cs="Calibri"/>
          <w:color w:val="000000"/>
          <w:sz w:val="26"/>
          <w:szCs w:val="24"/>
          <w:lang w:eastAsia="ru-RU"/>
        </w:rPr>
        <w:t> 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Финансовое обеспечение деятельности финансового управления осуществляется в рамках средств, запланированных и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shd w:val="clear" w:color="auto" w:fill="FFFFFF"/>
          <w:lang w:eastAsia="ru-RU"/>
        </w:rPr>
        <w:t xml:space="preserve"> утвержденных решением Брянского районного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9F9F9"/>
          <w:lang w:eastAsia="ru-RU"/>
        </w:rPr>
        <w:t>Совета народных депутатов № 6-25-1 от 15.12.2020 г. «О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 бюджете Брянского муниципального района на 2021 год и на плановый период 2022 и 2023 годов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9F9F9"/>
          <w:lang w:eastAsia="ru-RU"/>
        </w:rPr>
        <w:t>»  в сумме 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u w:val="single"/>
          <w:shd w:val="clear" w:color="auto" w:fill="F9F9F9"/>
          <w:lang w:eastAsia="ru-RU"/>
        </w:rPr>
        <w:t>29 683 197,65 руб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9F9F9"/>
          <w:lang w:eastAsia="ru-RU"/>
        </w:rPr>
        <w:t xml:space="preserve">. на 2021 год; 40 255 398 руб. на 2022 год и  в сумме 47 024 738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9F9F9"/>
          <w:lang w:eastAsia="ru-RU"/>
        </w:rPr>
        <w:t>руб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9F9F9"/>
          <w:lang w:eastAsia="ru-RU"/>
        </w:rPr>
        <w:t xml:space="preserve"> на 2023 год.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 В течение отчетного периода в бюджет вносились изменения, менялись основные параметры. С учетом изменений и дополнений финансовое обеспечение </w:t>
      </w:r>
      <w:proofErr w:type="gramStart"/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деятельности финансового управления администрации Брянского муниципального района Брянской области</w:t>
      </w:r>
      <w:proofErr w:type="gramEnd"/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 по состоянию на 01.01.2022 года по плановым показателям составило: 33 841 503,29 рублей.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Организационную структуру финансового управления составляют руководство управления и структурные подразделения по основным направлениям (сферам) деятельности управления: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         - аппарат управления - 2 единицы;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left="62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отдел доходов - 4 единицы;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left="62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бюджетный отдел - 6 единиц;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left="62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отдел расчетов и муниципального заказа - 4 единицы;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left="62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- отдел бюджетного учета и консолидированной  отчетности - 5 единиц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left="62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отдел экономического анализа - 5 единиц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Численность персонала учреждения по штатному расписанию на конец отчетного периода утверждена в количестве 26 должности, из которых:16 - муниципальных служащих, 10 - должностей не отнесенные к должностям муниципальной службы. </w:t>
      </w:r>
    </w:p>
    <w:p w:rsid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Операции по исполнению бюджета осуществляются в автоматизированной системе «Смета-Смарт», «Бюджет-Смарт», «СУФД», «Свод-СМАРТ», «Кадры КС», «Зарплата КС». В целях экономии бюджетных сре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дств в р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аботе применяется сетевое использование ПП «Консультант-Плюс» и доступ в интернет. С помощью программных средств "Астрал Отчет" отчетность в электронном виде передается в ФНС, ПФР, ФСС, Росстат.</w:t>
      </w:r>
    </w:p>
    <w:p w:rsid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E2862" w:rsidRPr="00634D9C" w:rsidRDefault="009E2862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GoBack"/>
      <w:bookmarkEnd w:id="0"/>
    </w:p>
    <w:p w:rsid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Анализ отчета об исполнении бюджета субъектом бюджетной отчетности</w:t>
      </w:r>
    </w:p>
    <w:p w:rsid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В соответствии с решением о бюджете финансовое управление определено главным администратором доходов бюджета Брянского муниципального района, в том числе по неналоговым доходам.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Общая сумма утвержденных</w:t>
      </w:r>
      <w:r w:rsidRPr="0063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на текущий финансовый год решением о бюджете плановых показателей по доходам, начисление которых осуществляет финансовое управление, составило 505 548 406,00 руб. Исполнение доходов составило 512 397 118,33 руб. или 101,4% к прогнозу.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Calibri"/>
          <w:color w:val="92D050"/>
          <w:sz w:val="26"/>
          <w:szCs w:val="24"/>
          <w:lang w:eastAsia="ru-RU"/>
        </w:rPr>
        <w:t xml:space="preserve"> 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Финансовое управление администрации Брянского района в 2021 году являлась администратором следующих доходов: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- 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>безвозмездные поступления от других бюджетов бюджетной системы Российской Федерации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запланировано 59 820 106,00 руб., поступило 59 820 106,00 руб. из них: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дотации бюджетам муниципальных районов на выравнивание бюджетной обеспеченности - 12 025 000,00 руб.;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дотации бюджетам муниципальных районов на поддержку мер по обеспечению сбалансированности бюджетов - 39 903 153,00 руб.;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прочие дотации бюджетам муниципальных районов - 3 052 000,00 руб.;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субвенции местным бюджетам на выполнение передаваемых полномочий субъектов Российской Федерации -2 929 000,00 руб.;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- 238 637,00 руб.;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Прочие межбюджетные трансферты, передаваемые бюджетам муниципальных районов -   1 672 316,00 руб.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  Показатели по 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не выполнению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плана отражены в ф.0503164 «Сведениях об исполнении бюджета».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     Исполнение расходной части бюджета составило 33 021 633,39 руб. или 97,6 % от плановых годовых назначений. В сравнении с прошлым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shd w:val="clear" w:color="auto" w:fill="FFFFFF"/>
          <w:lang w:eastAsia="ru-RU"/>
        </w:rPr>
        <w:t>отчетным периодом</w:t>
      </w:r>
      <w:r w:rsidRPr="00634D9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shd w:val="clear" w:color="auto" w:fill="FFFFFF"/>
          <w:lang w:eastAsia="ru-RU"/>
        </w:rPr>
        <w:t>расходы уменьшились  на 11 ,3 %.  или  на  3 729 182,26 руб. </w:t>
      </w:r>
    </w:p>
    <w:p w:rsidR="00634D9C" w:rsidRPr="00634D9C" w:rsidRDefault="00634D9C" w:rsidP="00634D9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       Утвержденные бюджетные ассигнования по разделу </w:t>
      </w:r>
      <w:r w:rsidRPr="00634D9C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 xml:space="preserve">0100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"</w:t>
      </w:r>
      <w:r w:rsidRPr="00634D9C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Общегосударственные вопросы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" составляют 18 281 643,31 руб., исполнено  17 461 773,41 руб. или 95,5%. В сравнении  с соответствующим периодом прошлого года расходы увеличились   на  5,9 %  или на 1 021 759,42 руб. Расходы были произведены на следующие цели:</w:t>
      </w:r>
    </w:p>
    <w:p w:rsidR="00634D9C" w:rsidRPr="00634D9C" w:rsidRDefault="00634D9C" w:rsidP="00634D9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 - 102 0106 7000055490 000 </w:t>
      </w:r>
      <w:r w:rsidRPr="00634D9C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34D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"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утвержденные бюджетные ассигнования составляют</w:t>
      </w:r>
    </w:p>
    <w:p w:rsidR="00634D9C" w:rsidRPr="00634D9C" w:rsidRDefault="00634D9C" w:rsidP="00634D9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95 535,49 руб. исполнение составили 100%.По данному подразделу произведены расходы на поощрение муниципальных управленческих команд за достижение показателей деятельности органов исполнительной власти. </w:t>
      </w:r>
    </w:p>
    <w:p w:rsidR="00634D9C" w:rsidRPr="00634D9C" w:rsidRDefault="00634D9C" w:rsidP="009E28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 xml:space="preserve">- 102 0106 0200280040 000 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 xml:space="preserve">"Руководство и управление в сфере установленных функций органов местного самоуправления"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утвержденные бюджетные ассигнования составляют 16 607 974,67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руб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исполнение 16 089 283,65 руб. (96,9 % от плановых назначений или 47,5% от общих расходов):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 расходы на выплату заработной платы с начислениями, единовременную выплату к отпуску - 15 809 619,53 руб.,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    оплату услуг связи - 47 013,80 руб.,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 отправка корреспонденции - 8764,26 руб.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- обучение сотрудников -26 200 руб., 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оплата за ремонт и чистку кондиционеров -15 000,00 руб.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оплата подписки на журнал "Бюджет" - 24 750,00руб.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приобретение осно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вных средств -26 472,02 руб. (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 телефонных аппарата, 3 офисных кресла)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материальные запасы - 105 874,04 руб., (канцелярские товары, аккумуляторы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,)</w:t>
      </w:r>
      <w:proofErr w:type="gramEnd"/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  <w:r w:rsidRPr="00634D9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- прочие расходы - 590,00 руб., 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оплату членского взноса в Сообщество Финансистов России за 2020 год-25 000,0руб.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По сравнению с прошлым периодом расходы увеличились на 16,1% или на 2 595 083,85 руб.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- 102 0106 0200383230 00 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 xml:space="preserve">"Развитие информационного общества и формирование электронного правительства"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утвержденные бюджетные ассигнования составляют  935 805,00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руб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исполнение 634 626,12 руб. (67.8 % от плановых назначений или 1.9% от общих расходов)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.Р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асходы произведены на: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заправка и ремонт картриджей - 10 050,00 руб.;</w:t>
      </w:r>
    </w:p>
    <w:p w:rsidR="00634D9C" w:rsidRPr="00634D9C" w:rsidRDefault="00634D9C" w:rsidP="009E28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-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програмное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обслуживание ИКТ - 411 622,00 (программные продукты для компьютерной техники "Астрал-Отчет"-6 600,00, информационно-консультационное сопровождение Консультант - Плюс - 85 800,00 руб., ежегодное продление лицензий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СводСмарт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Свод - Смарт, Смета-Смарт, Кадры-КС, Зарплата-КС, а также их обслуживание - 162 350,00 руб., оплата сертификата активации сервиса -73 925,00руб., информационно-статистические услуги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Брянскстат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- 23 162,00 руб.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програмное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обслуживание - 59 785,00);</w:t>
      </w:r>
      <w:proofErr w:type="gramEnd"/>
    </w:p>
    <w:p w:rsidR="00634D9C" w:rsidRPr="00634D9C" w:rsidRDefault="00634D9C" w:rsidP="00634D9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приобретение основных средств - 198 759,12 руб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.(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МФУ, ноутбук, станок для сшивания);</w:t>
      </w:r>
    </w:p>
    <w:p w:rsidR="00634D9C" w:rsidRPr="00634D9C" w:rsidRDefault="00634D9C" w:rsidP="009E2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- материальные запасы -14 195,00 руб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.(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концентратор, модуль памяти, тонер-картридж и т.д.).</w:t>
      </w:r>
    </w:p>
    <w:p w:rsidR="00634D9C" w:rsidRPr="00634D9C" w:rsidRDefault="00634D9C" w:rsidP="009E2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По сравнению с прошлым периодом расходы умен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ьшились на 234,0% или на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 1 484 760,22 руб.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 102 0106 7000083420 000 </w:t>
      </w:r>
      <w:r w:rsidRPr="00634D9C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 xml:space="preserve">"Мероприятия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бюджета" 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исполнено 642 328,15 руб. или 100%. - на поощрение сотрудников в целях стимулирования результатов социально-экономического развития.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Утвержденные бюджетные ассигнования по разделу </w:t>
      </w:r>
      <w:r w:rsidRPr="00634D9C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1300 "Обслуживание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 </w:t>
      </w:r>
      <w:r w:rsidRPr="00634D9C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государственного  и муниципального долга</w:t>
      </w: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 " составили 3 433 859,98 руб., исполнение составило 100 %. Расходы были направлены на уплату процентов по коммерческим кредитам.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По сравнению с аналогичным периодом прошлого года расходы снизились на 28 ,6 % или на 982 464,16 руб.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> 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>Межбюджетные трансферт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ы общего характера бюджетам бюджетной системы Российской Федерации, по разделу 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>1400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утверждены  в объеме 12 126 000,00 руб., исполнены в полном объеме.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- 102 1401 0200415840 000 "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 xml:space="preserve">Дотации на выравнивание бюджетной обеспеченности поселений за счет средств областного бюджета"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плановые назначения составили 2 929 000,00 руб. Исполнение 100%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:</w:t>
      </w:r>
      <w:proofErr w:type="gramEnd"/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- 102 1401 0200483010 000 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 xml:space="preserve">"Дотации на выравнивание бюджетной обеспеченности поселений за счет средств Брянского муниципального района"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плановые назначения составили 2 600 000,00 руб. Исполнение 100%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:</w:t>
      </w:r>
      <w:proofErr w:type="gramEnd"/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- 102 1402 7000083020 000 </w:t>
      </w:r>
      <w:r w:rsidRPr="00634D9C">
        <w:rPr>
          <w:rFonts w:ascii="Times New Roman" w:eastAsia="Times New Roman" w:hAnsi="Times New Roman" w:cs="Calibri"/>
          <w:b/>
          <w:color w:val="000000"/>
          <w:sz w:val="26"/>
          <w:szCs w:val="24"/>
          <w:lang w:eastAsia="ru-RU"/>
        </w:rPr>
        <w:t xml:space="preserve">"Поддержка и реализация мероприятий по обеспечению сбалансированности бюджетов сельских поселений"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плановые назначения составили 6 597 000,00 руб. Исполнение составило 100%):</w:t>
      </w:r>
      <w:proofErr w:type="gramEnd"/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  <w:r w:rsidRPr="00634D9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 сравнению с прошлым годом расходы увеличились на 49,2 % или на 3 244 887,00 руб.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 xml:space="preserve">Платные услуги финансовое управление администрации Брянского района не оказывает.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Анализ показателей бухгалтерской отчетности субъекта бюджетной отчетности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Анализ показателей бухгалтерской отчетности приведен в следующих формах: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Сведения о движении нефинансовых активов (форма № 0503168). </w:t>
      </w:r>
    </w:p>
    <w:p w:rsidR="009E2862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На 01.01.2021 стоимость имущества муниципальной собственности, закрепленного на праве оперативного управления за финансовым управлением администрации Брянского района –  4 250 434,69 руб., на конец отчетного года  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 3 981 566,84 рублей. Поступление основных средств составило 806 051,12 руб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 отчетный период выбытие основных средств составило -1 074 918,97,00 руб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.:,</w:t>
      </w:r>
      <w:proofErr w:type="gramEnd"/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Движение основных средств на </w:t>
      </w:r>
      <w:proofErr w:type="spell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забалансовом</w:t>
      </w:r>
      <w:proofErr w:type="spell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счете: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поступление составило 23 942,02.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целях обеспечения достоверности данных бухгалтерского учета и отчетности, на основании Приказа финансового управления администрации Брянского района №48/1 от 30.09.2021 года проведена регулярная инвентаризация имущества, финансовых активов постоянно действующей комиссией управления, отклонений не выявлено.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По состоянию на 01.01.2022 года на счетах финансового управления в органе Федерального казначейства остатка средств  не имеется, остаток средств в кассе 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-о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тсутствует.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634D9C" w:rsidRPr="009E2862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shd w:val="clear" w:color="auto" w:fill="F9F9F9"/>
          <w:lang w:eastAsia="ru-RU"/>
        </w:rPr>
      </w:pPr>
      <w:r w:rsidRPr="00634D9C">
        <w:rPr>
          <w:rFonts w:ascii="Times New Roman" w:eastAsia="Times New Roman" w:hAnsi="Times New Roman" w:cs="Times New Roman"/>
          <w:b/>
          <w:color w:val="000000"/>
          <w:sz w:val="26"/>
          <w:szCs w:val="24"/>
          <w:shd w:val="clear" w:color="auto" w:fill="F9F9F9"/>
          <w:lang w:eastAsia="ru-RU"/>
        </w:rPr>
        <w:t>Раздел 5 "Прочие вопросы деятельности субъекта бюджетной отчетности"</w:t>
      </w:r>
    </w:p>
    <w:p w:rsidR="009E2862" w:rsidRPr="00634D9C" w:rsidRDefault="009E2862" w:rsidP="00634D9C">
      <w:pPr>
        <w:autoSpaceDE w:val="0"/>
        <w:autoSpaceDN w:val="0"/>
        <w:adjustRightInd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left="-240" w:right="-38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Ведение бухгалтерского учета осуществляет отдел бюджетного учета и консолидированной отчетности. Бухгалтерский учет в учреждении ведется в соответствии с требованиями действующего Законодательства РФ, Инструкцией от 01.12.2010 157н, от 16.12.2010 174н, на основании Федеральных стандартов. Составление и предоставление бюджетной отчетности осуществляется на основании инструкции, утвержденной приказом Минфина РФ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Составление и предоставление бюджетной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 xml:space="preserve"> отчетности осуществляется в соответствии с требованиями </w:t>
      </w:r>
      <w:hyperlink r:id="rId22" w:anchor="/document/99/902254657/XA00LVS2MC/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 xml:space="preserve">Инструкции о порядке составления и представления годовой, квартальной и </w:t>
        </w:r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lastRenderedPageBreak/>
          <w:t>месячной отчетности об исполнении бюджетов бюджетной системы РФ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, утвержденной </w:t>
      </w:r>
      <w:hyperlink r:id="rId23" w:anchor="/document/99/902254657/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 xml:space="preserve">приказом Министерства финансов </w:t>
        </w:r>
        <w:proofErr w:type="gramStart"/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Р</w:t>
        </w:r>
        <w:proofErr w:type="gramEnd"/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 xml:space="preserve"> Ф от 28.12.2010 № 191н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 (</w:t>
      </w:r>
      <w:r w:rsidRPr="00634D9C">
        <w:rPr>
          <w:rFonts w:ascii="Times New Roman" w:eastAsia="Times New Roman" w:hAnsi="Times New Roman" w:cs="Times New Roman"/>
          <w:color w:val="392C69"/>
          <w:sz w:val="26"/>
          <w:szCs w:val="24"/>
          <w:lang w:eastAsia="ru-RU"/>
        </w:rPr>
        <w:t xml:space="preserve">в ред. Приказов Минфина России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от 29.12.2011 </w:t>
      </w:r>
      <w:hyperlink r:id="rId24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191н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26.10.2012 </w:t>
      </w:r>
      <w:hyperlink r:id="rId25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138н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19.12.2014 </w:t>
      </w:r>
      <w:hyperlink r:id="rId26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157н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26.08.2015 </w:t>
      </w:r>
      <w:hyperlink r:id="rId27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135н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31.12.2015 </w:t>
      </w:r>
      <w:hyperlink r:id="rId28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229н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16.11.2016 </w:t>
      </w:r>
      <w:hyperlink r:id="rId29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209н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02.11.2017 </w:t>
      </w:r>
      <w:hyperlink r:id="rId30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176н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07.03.2018 </w:t>
      </w:r>
      <w:hyperlink r:id="rId31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43н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30.11.2018 </w:t>
      </w:r>
      <w:hyperlink r:id="rId32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244н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28.02.2019 </w:t>
      </w:r>
      <w:hyperlink r:id="rId33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31н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от 16.05.2019 </w:t>
      </w:r>
      <w:hyperlink r:id="rId34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72н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20.08.2019 </w:t>
      </w:r>
      <w:hyperlink r:id="rId35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131н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31.01.2020 </w:t>
      </w:r>
      <w:hyperlink r:id="rId36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13н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07.04.2020 </w:t>
      </w:r>
      <w:hyperlink r:id="rId37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59н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12.05.2020 </w:t>
      </w:r>
      <w:hyperlink r:id="rId38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88н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02.07.2020 </w:t>
      </w:r>
      <w:hyperlink r:id="rId39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131н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от 29.10.2020 </w:t>
      </w:r>
      <w:hyperlink r:id="rId40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N 250н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).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В целях регулирования бюджетного учета активов и обязательств РФ, субъектов РФ и муниципальных образований, операций, изменяющих указанные активы и обязательства, бухгалтерского учета государственных (муниципальных) бюджетных и автономных учреждений и составления бюджетной отчетности, бухгалтерской (финансовой) отчетности государственных (муниципальных) бюджетных и автономных учреждений в 2016 году были утверждены Стандарты.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 xml:space="preserve">С 2021 года при ведении бюджетного учета, бухгалтерского учета государственных (муниципальных) бюджетных и автономных учреждений, а также при составлении бюджетной отчетности, бухгалтерской (финансовой) отчетности государственных (муниципальных) бюджетных и автономных учреждений за 2020 год дополнительно ввели в действие 5 стандартов: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приказом Минфина России от 30.05.2018 № 124н был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 xml:space="preserve"> утвержден </w:t>
      </w:r>
      <w:hyperlink r:id="rId41" w:anchor="/document/99/420388973/XA00M9O2NH/" w:tgtFrame="_self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федеральный стандарт бухгалтерского учета для организаций государственного сектора "Резервы, Раскрытие информации об условных обязательствах и условных активах"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 (далее - </w:t>
      </w:r>
      <w:hyperlink r:id="rId42" w:anchor="/document/99/420388973/XA00M9O2NH/" w:tgtFrame="_self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Стандарт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);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-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приказом Минфина России от 28.02.2018 № 27н был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 xml:space="preserve"> утвержден </w:t>
      </w:r>
      <w:hyperlink r:id="rId43" w:anchor="/document/99/420389698/XA00M8G2N9/" w:tgtFrame="_self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федеральный стандарт бухгалтерского учета для организаций государственного сектора "Бюджетная информация в бухгалтерской (финансовой) отчётности"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 (далее - </w:t>
      </w:r>
      <w:hyperlink r:id="rId44" w:anchor="/document/99/420389698/XA00M8G2N9/" w:tgtFrame="_self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Стандарт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);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 xml:space="preserve">- 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приказом Минфина России от 29.06.2018 №145н был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 xml:space="preserve"> утвержден </w:t>
      </w:r>
      <w:hyperlink r:id="rId45" w:anchor="/document/99/420389699/XA00M3A2MS/" w:tgtFrame="_self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федеральный стандарт бухгалтерского учета для организаций государственного сектора "Долгосрочные договоры"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 (далее - </w:t>
      </w:r>
      <w:hyperlink r:id="rId46" w:anchor="/document/99/420389699/XA00M3A2MS/" w:tgtFrame="_self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Стандарт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);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приказом Минфина России от 29.06.2018 № 146н был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 xml:space="preserve"> утвержден </w:t>
      </w:r>
      <w:hyperlink r:id="rId47" w:anchor="/document/99/420388972/XA00MEQ2O1/" w:tgtFrame="_self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федеральный стандарт бухгалтерского учета для организаций государственного сектора "Концессионные соглашения"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 (далее - </w:t>
      </w:r>
      <w:hyperlink r:id="rId48" w:anchor="/document/99/420388972/XA00MEQ2O1/" w:tgtFrame="_self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Стандарт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);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приказом Минфина России от 07.12.2018 № 256н был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 xml:space="preserve"> утвержден </w:t>
      </w:r>
      <w:hyperlink r:id="rId49" w:anchor="/document/99/420388972/XA00MEQ2O1/" w:tgtFrame="_self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федеральный стандарт бухгалтерского учета для организаций государственного сектора "Запасы"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 (далее - </w:t>
      </w:r>
      <w:hyperlink r:id="rId50" w:anchor="/document/99/420388972/XA00MEQ2O1/" w:tgtFrame="_self" w:history="1">
        <w:r w:rsidRPr="009E2862">
          <w:rPr>
            <w:rFonts w:ascii="Times New Roman" w:eastAsia="Times New Roman" w:hAnsi="Times New Roman" w:cs="Times New Roman"/>
            <w:color w:val="000000"/>
            <w:sz w:val="26"/>
            <w:szCs w:val="24"/>
            <w:u w:val="single"/>
            <w:lang w:eastAsia="ru-RU"/>
          </w:rPr>
          <w:t>Стандарт</w:t>
        </w:r>
      </w:hyperlink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);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</w:t>
      </w: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 деятельности финансового управления непосредственно стали использовать в 2020г. 2 стандарта из вновь </w:t>
      </w:r>
      <w:proofErr w:type="gramStart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введённых</w:t>
      </w:r>
      <w:proofErr w:type="gramEnd"/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: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- стандарт "Запасы"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- стандарт "Бюджетная информация в бухгалтерской (финансовой) отчетности"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 xml:space="preserve">           - стандарт «Непроизведенные активы» – приказ от 28.02.2018 года № 34н;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 xml:space="preserve">           - стандарт «Нематериальные активы» – приказ от 15.11.2019 года № 181н;                                     - стандарт «Затраты по заимствованиям» – приказ от 15.11.2019 года № 182н;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           - стандарт «Совместная деятельность» – приказ от 15.11.2019 года № 183н;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            - стандарт «Выплаты персоналу» – приказ от 15.11.2019 года № 184н;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lastRenderedPageBreak/>
        <w:t>            - стандарт «Информация о связанных сторонах» – приказ от 30.12.2017 года № 277н; «Финансовые инструменты» – приказ от 30.06.2020 года № 129н;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           - стандарт «Отчетность по операциям системы казначейских платежей» – приказ от 30.06.2020 года № 126н.</w:t>
      </w:r>
    </w:p>
    <w:p w:rsidR="00634D9C" w:rsidRPr="00634D9C" w:rsidRDefault="00634D9C" w:rsidP="009E28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В отношении использования бюджетных средств и муниципального имущества Администрации Брянского района в 2021 году проведены внешние контрольные мероприятия: Контрольно-счетной палатой Брянского района проводилось контрольное мероприятие «Заключение по годовому отчету». </w:t>
      </w:r>
    </w:p>
    <w:p w:rsidR="00634D9C" w:rsidRPr="00634D9C" w:rsidRDefault="00634D9C" w:rsidP="00634D9C">
      <w:pPr>
        <w:autoSpaceDE w:val="0"/>
        <w:autoSpaceDN w:val="0"/>
        <w:adjustRightInd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1B" w:rsidRPr="009E2862" w:rsidRDefault="0019311B">
      <w:pPr>
        <w:rPr>
          <w:rFonts w:ascii="Times New Roman" w:hAnsi="Times New Roman" w:cs="Times New Roman"/>
        </w:rPr>
      </w:pPr>
    </w:p>
    <w:sectPr w:rsidR="0019311B" w:rsidRPr="009E2862" w:rsidSect="009E2862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9C"/>
    <w:rsid w:val="0019311B"/>
    <w:rsid w:val="00634D9C"/>
    <w:rsid w:val="009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4D9C"/>
    <w:rPr>
      <w:rFonts w:asciiTheme="minorHAnsi" w:hAnsiTheme="minorHAnsi" w:cs="Times New Roman"/>
      <w:color w:val="0000FF"/>
      <w:szCs w:val="22"/>
      <w:u w:val="single"/>
    </w:rPr>
  </w:style>
  <w:style w:type="character" w:styleId="a4">
    <w:name w:val="line number"/>
    <w:basedOn w:val="a0"/>
    <w:uiPriority w:val="99"/>
    <w:rsid w:val="00634D9C"/>
    <w:rPr>
      <w:rFonts w:asciiTheme="minorHAnsi" w:hAnsiTheme="minorHAnsi" w:cs="Times New Roman"/>
      <w:szCs w:val="22"/>
    </w:rPr>
  </w:style>
  <w:style w:type="table" w:styleId="1">
    <w:name w:val="Table Simple 1"/>
    <w:basedOn w:val="a1"/>
    <w:uiPriority w:val="99"/>
    <w:rsid w:val="00634D9C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4D9C"/>
    <w:rPr>
      <w:rFonts w:asciiTheme="minorHAnsi" w:hAnsiTheme="minorHAnsi" w:cs="Times New Roman"/>
      <w:color w:val="0000FF"/>
      <w:szCs w:val="22"/>
      <w:u w:val="single"/>
    </w:rPr>
  </w:style>
  <w:style w:type="character" w:styleId="a4">
    <w:name w:val="line number"/>
    <w:basedOn w:val="a0"/>
    <w:uiPriority w:val="99"/>
    <w:rsid w:val="00634D9C"/>
    <w:rPr>
      <w:rFonts w:asciiTheme="minorHAnsi" w:hAnsiTheme="minorHAnsi" w:cs="Times New Roman"/>
      <w:szCs w:val="22"/>
    </w:rPr>
  </w:style>
  <w:style w:type="table" w:styleId="1">
    <w:name w:val="Table Simple 1"/>
    <w:basedOn w:val="a1"/>
    <w:uiPriority w:val="99"/>
    <w:rsid w:val="00634D9C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160BB16CB8E1D1E0827DE33EDA5A7771F8B56F73E69B74CD6216D33DF47A1E2E333236B9045110D5AC4438C62EBA311EA72A5109ED7CBC7Co3I" TargetMode="External"/><Relationship Id="rId18" Type="http://schemas.openxmlformats.org/officeDocument/2006/relationships/hyperlink" Target="consultantplus://offline/ref=8E3EC43332463D03EA9F373E580AE9FF9F6515A6BD265402E23E0CB24C9B05486DB0B9B7BE686B0836E4D1084B77A5514361BEF0A04FD5EBA4s1I" TargetMode="External"/><Relationship Id="rId26" Type="http://schemas.openxmlformats.org/officeDocument/2006/relationships/hyperlink" Target="consultantplus://offline/ref=5326A94F963F568B0935A19750AACE95295BDED5E1C186F196F002BA22C3630367D409E3133735CEF3221110914578BEDC27FD0B6DD1E87EkF1CL" TargetMode="External"/><Relationship Id="rId39" Type="http://schemas.openxmlformats.org/officeDocument/2006/relationships/hyperlink" Target="consultantplus://offline/ref=5326A94F963F568B0935A19750AACE952B59DADAE0CE86F196F002BA22C3630367D409E3133735CEF3221110914578BEDC27FD0B6DD1E87EkF1CL" TargetMode="External"/><Relationship Id="rId21" Type="http://schemas.openxmlformats.org/officeDocument/2006/relationships/hyperlink" Target="consultantplus://offline/ref=8E3EC43332463D03EA9F373E580AE9FF9E6B10A2B4245402E23E0CB24C9B05486DB0B9B7BE686B0836E4D1084B77A5514361BEF0A04FD5EBA4s1I" TargetMode="External"/><Relationship Id="rId34" Type="http://schemas.openxmlformats.org/officeDocument/2006/relationships/hyperlink" Target="consultantplus://offline/ref=5326A94F963F568B0935A19750AACE952B5ED9D1EBC286F196F002BA22C3630367D409E3133735CEF3221110914578BEDC27FD0B6DD1E87EkF1CL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7" Type="http://schemas.openxmlformats.org/officeDocument/2006/relationships/hyperlink" Target="consultantplus://offline/ref=D1160BB16CB8E1D1E0827DE33EDA5A7773F6B26E74ED9B74CD6216D33DF47A1E2E333236B9045110D5AC4438C62EBA311EA72A5109ED7CBC7Co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3EC43332463D03EA9F373E580AE9FF9E6B10A1B4215402E23E0CB24C9B05486DB0B9B7BE686B0930E4D1084B77A5514361BEF0A04FD5EBA4s1I" TargetMode="External"/><Relationship Id="rId29" Type="http://schemas.openxmlformats.org/officeDocument/2006/relationships/hyperlink" Target="consultantplus://offline/ref=5326A94F963F568B0935A19750AACE952A5CDBD5ECCE86F196F002BA22C3630367D409E3133735CFF7221110914578BEDC27FD0B6DD1E87EkF1CL" TargetMode="External"/><Relationship Id="rId11" Type="http://schemas.openxmlformats.org/officeDocument/2006/relationships/hyperlink" Target="consultantplus://offline/ref=D1160BB16CB8E1D1E0827DE33EDA5A7770F7B36571E09B74CD6216D33DF47A1E2E333236B9045110D5AC4438C62EBA311EA72A5109ED7CBC7Co3I" TargetMode="External"/><Relationship Id="rId24" Type="http://schemas.openxmlformats.org/officeDocument/2006/relationships/hyperlink" Target="consultantplus://offline/ref=5326A94F963F568B0935A19750AACE95295ED8D5EEC686F196F002BA22C3630367D409E3133735CEFD221110914578BEDC27FD0B6DD1E87EkF1CL" TargetMode="External"/><Relationship Id="rId32" Type="http://schemas.openxmlformats.org/officeDocument/2006/relationships/hyperlink" Target="consultantplus://offline/ref=5326A94F963F568B0935A19750AACE952B5DDFD3EFCF86F196F002BA22C3630367D409E3133735CEF3221110914578BEDC27FD0B6DD1E87EkF1CL" TargetMode="External"/><Relationship Id="rId37" Type="http://schemas.openxmlformats.org/officeDocument/2006/relationships/hyperlink" Target="consultantplus://offline/ref=5326A94F963F568B0935A19750AACE952B59DCD2EFC786F196F002BA22C3630367D409E3133735CEF3221110914578BEDC27FD0B6DD1E87EkF1CL" TargetMode="External"/><Relationship Id="rId40" Type="http://schemas.openxmlformats.org/officeDocument/2006/relationships/hyperlink" Target="consultantplus://offline/ref=5326A94F963F568B0935A19750AACE952B5ADADAEACF86F196F002BA22C3630367D409E3133735CEF3221110914578BEDC27FD0B6DD1E87EkF1CL" TargetMode="External"/><Relationship Id="rId45" Type="http://schemas.openxmlformats.org/officeDocument/2006/relationships/hyperlink" Target="https://www.gosfinansy.ru/" TargetMode="External"/><Relationship Id="rId5" Type="http://schemas.openxmlformats.org/officeDocument/2006/relationships/hyperlink" Target="consultantplus://offline/ref=D1160BB16CB8E1D1E0827DE33EDA5A7773FDB06B74E29B74CD6216D33DF47A1E2E333236B9045110D5AC4438C62EBA311EA72A5109ED7CBC7Co3I" TargetMode="External"/><Relationship Id="rId15" Type="http://schemas.openxmlformats.org/officeDocument/2006/relationships/hyperlink" Target="consultantplus://offline/ref=8E3EC43332463D03EA9F373E580AE9FF9C6513ACBA205402E23E0CB24C9B05486DB0B9B7BE686B0836E4D1084B77A5514361BEF0A04FD5EBA4s1I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consultantplus://offline/ref=5326A94F963F568B0935A19750AACE952955DEDBEFC386F196F002BA22C3630367D409E3133735CEF3221110914578BEDC27FD0B6DD1E87EkF1CL" TargetMode="External"/><Relationship Id="rId36" Type="http://schemas.openxmlformats.org/officeDocument/2006/relationships/hyperlink" Target="consultantplus://offline/ref=5326A94F963F568B0935A19750AACE952B58D8DAECC586F196F002BA22C3630367D409E3133735CEF3221110914578BEDC27FD0B6DD1E87EkF1CL" TargetMode="External"/><Relationship Id="rId49" Type="http://schemas.openxmlformats.org/officeDocument/2006/relationships/hyperlink" Target="https://www.gosfinansy.ru/" TargetMode="External"/><Relationship Id="rId10" Type="http://schemas.openxmlformats.org/officeDocument/2006/relationships/hyperlink" Target="consultantplus://offline/ref=D1160BB16CB8E1D1E0827DE33EDA5A7770F9BF6B72E59B74CD6216D33DF47A1E2E333236B9045110D5AC4438C62EBA311EA72A5109ED7CBC7Co3I" TargetMode="External"/><Relationship Id="rId19" Type="http://schemas.openxmlformats.org/officeDocument/2006/relationships/hyperlink" Target="consultantplus://offline/ref=8E3EC43332463D03EA9F373E580AE9FF9F6412A0B8225402E23E0CB24C9B05486DB0B9B7BE686B0836E4D1084B77A5514361BEF0A04FD5EBA4s1I" TargetMode="External"/><Relationship Id="rId31" Type="http://schemas.openxmlformats.org/officeDocument/2006/relationships/hyperlink" Target="consultantplus://offline/ref=5326A94F963F568B0935A19750AACE952A55DFD3EAC686F196F002BA22C3630367D409E3133735CEF3221110914578BEDC27FD0B6DD1E87EkF1CL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60BB16CB8E1D1E0827DE33EDA5A7770FEB16A74ED9B74CD6216D33DF47A1E2E333236B9045111DBAC4438C62EBA311EA72A5109ED7CBC7Co3I" TargetMode="External"/><Relationship Id="rId14" Type="http://schemas.openxmlformats.org/officeDocument/2006/relationships/hyperlink" Target="consultantplus://offline/ref=8E3EC43332463D03EA9F373E580AE9FF9C6E1EADBA295402E23E0CB24C9B05486DB0B9B7BE686B0836E4D1084B77A5514361BEF0A04FD5EBA4s1I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consultantplus://offline/ref=5326A94F963F568B0935A19750AACE952954D9D2E1C186F196F002BA22C3630367D409E3133735CEF3221110914578BEDC27FD0B6DD1E87EkF1CL" TargetMode="External"/><Relationship Id="rId30" Type="http://schemas.openxmlformats.org/officeDocument/2006/relationships/hyperlink" Target="consultantplus://offline/ref=5326A94F963F568B0935A19750AACE952A54DFD2E8C786F196F002BA22C3630367D409E3133735CEF3221110914578BEDC27FD0B6DD1E87EkF1CL" TargetMode="External"/><Relationship Id="rId35" Type="http://schemas.openxmlformats.org/officeDocument/2006/relationships/hyperlink" Target="consultantplus://offline/ref=5326A94F963F568B0935A19750AACE952B5FDED7ECC386F196F002BA22C3630367D409E3133735CEF3221110914578BEDC27FD0B6DD1E87EkF1CL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8" Type="http://schemas.openxmlformats.org/officeDocument/2006/relationships/hyperlink" Target="consultantplus://offline/ref=D1160BB16CB8E1D1E0827DE33EDA5A7773F7B26473ED9B74CD6216D33DF47A1E2E333236B9045110D5AC4438C62EBA311EA72A5109ED7CBC7Co3I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160BB16CB8E1D1E0827DE33EDA5A7771FFB36479E19B74CD6216D33DF47A1E2E333236B9045110D5AC4438C62EBA311EA72A5109ED7CBC7Co3I" TargetMode="External"/><Relationship Id="rId17" Type="http://schemas.openxmlformats.org/officeDocument/2006/relationships/hyperlink" Target="consultantplus://offline/ref=8E3EC43332463D03EA9F373E580AE9FF9F6D10A3B8285402E23E0CB24C9B05486DB0B9B7BE686B0A33E4D1084B77A5514361BEF0A04FD5EBA4s1I" TargetMode="External"/><Relationship Id="rId25" Type="http://schemas.openxmlformats.org/officeDocument/2006/relationships/hyperlink" Target="consultantplus://offline/ref=5326A94F963F568B0935A19750AACE95295FDBD0EFCF86F196F002BA22C3630367D409E3133735CEF3221110914578BEDC27FD0B6DD1E87EkF1CL" TargetMode="External"/><Relationship Id="rId33" Type="http://schemas.openxmlformats.org/officeDocument/2006/relationships/hyperlink" Target="consultantplus://offline/ref=5326A94F963F568B0935A19750AACE952B5EDDD3E0CF86F196F002BA22C3630367D409E3133735CEF3221110914578BEDC27FD0B6DD1E87EkF1CL" TargetMode="External"/><Relationship Id="rId38" Type="http://schemas.openxmlformats.org/officeDocument/2006/relationships/hyperlink" Target="consultantplus://offline/ref=5326A94F963F568B0935A19750AACE952B59DEDAEDCF86F196F002BA22C3630367D409E3133735CEF3221110914578BEDC27FD0B6DD1E87EkF1CL" TargetMode="External"/><Relationship Id="rId46" Type="http://schemas.openxmlformats.org/officeDocument/2006/relationships/hyperlink" Target="https://www.gosfinansy.ru/" TargetMode="External"/><Relationship Id="rId20" Type="http://schemas.openxmlformats.org/officeDocument/2006/relationships/hyperlink" Target="consultantplus://offline/ref=8E3EC43332463D03EA9F373E580AE9FF9E6C11A4BC275402E23E0CB24C9B05486DB0B9B7BE686B0836E4D1084B77A5514361BEF0A04FD5EBA4s1I" TargetMode="External"/><Relationship Id="rId41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60BB16CB8E1D1E0827DE33EDA5A7773F8BE6C79ED9B74CD6216D33DF47A1E2E333236B9045110D5AC4438C62EBA311EA72A5109ED7CBC7C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Молодовская</dc:creator>
  <cp:lastModifiedBy>Молодовская</cp:lastModifiedBy>
  <cp:revision>1</cp:revision>
  <dcterms:created xsi:type="dcterms:W3CDTF">2022-04-22T08:44:00Z</dcterms:created>
  <dcterms:modified xsi:type="dcterms:W3CDTF">2022-04-22T09:01:00Z</dcterms:modified>
</cp:coreProperties>
</file>