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6"/>
      </w:tblGrid>
      <w:tr w:rsidR="00B83100"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100" w:rsidRDefault="007D5A6D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8B3920" w:rsidRPr="001E6DEE" w:rsidRDefault="007D5A6D" w:rsidP="008B39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  <w:r w:rsidR="008B3920" w:rsidRPr="001E6DEE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ОТЧЕТ О РЕЗУЛЬТАТАХ ДЕЯТЕЛЬНОСТИ </w:t>
      </w:r>
    </w:p>
    <w:p w:rsidR="008B3920" w:rsidRPr="001E6DEE" w:rsidRDefault="008B3920" w:rsidP="008B39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</w:pPr>
      <w:r w:rsidRPr="001E6DEE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ФИНАНСОВОГО УПРАВЛЕНИЯ АДМИНИСТРАЦИИ</w:t>
      </w:r>
    </w:p>
    <w:p w:rsidR="008B3920" w:rsidRPr="001E6DEE" w:rsidRDefault="008B3920" w:rsidP="008B392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</w:pPr>
      <w:r w:rsidRPr="001E6DEE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БРЯНСКОГО РАЙОНА ЗА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3</w:t>
      </w:r>
      <w:r w:rsidRPr="001E6DEE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ГОД</w:t>
      </w:r>
    </w:p>
    <w:p w:rsidR="008B3920" w:rsidRPr="001E6DEE" w:rsidRDefault="008B3920" w:rsidP="008B3920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B3920" w:rsidRPr="001E6DEE" w:rsidRDefault="008B3920" w:rsidP="008B392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Финансовое управление администрации Брянского района является отраслевым подразделением исполнительно-распорядительного органа местного самоуправления – администрация Брянского района, обеспечивающим проведение единой финансовой, бюджетной, налоговой, экономической и долговой политики на территории Брянского муниципального района Брянской области и координирует деятельность в этой сфере </w:t>
      </w:r>
      <w:proofErr w:type="gramStart"/>
      <w:r w:rsidRPr="001E6DE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 местного самоуправления сельских поселений Брянского района Брянской области</w:t>
      </w:r>
      <w:proofErr w:type="gramEnd"/>
      <w:r w:rsidRPr="001E6D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3920" w:rsidRPr="001E6DEE" w:rsidRDefault="008B3920" w:rsidP="008B3920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6DE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задачей финансового управления является: формирование и реализация единой финансовой, бюджетной, налоговой, экономической и долговой политики на территории Брянского муниципального района Брянской области в соответствии с основными направлениями, определенными на федеральном и региональном уровнях.</w:t>
      </w:r>
      <w:proofErr w:type="gramEnd"/>
    </w:p>
    <w:p w:rsidR="008B3920" w:rsidRPr="001E6DEE" w:rsidRDefault="008B3920" w:rsidP="008B392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DE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следующие правоустанавливающие полномочия:</w:t>
      </w:r>
    </w:p>
    <w:p w:rsidR="008B3920" w:rsidRPr="001E6DEE" w:rsidRDefault="008B3920" w:rsidP="008B392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DEE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составляет для представления администрацией Брянского района в лице Главы администрации в Брянский районный Совет народных депутатов проекты решений Брянского районного Совета народных депутатов о бюджете муниципального района, о внесении изменений в бюджет муниципального района, необходимые документы и материалы, направляемые одновременно с ними;</w:t>
      </w:r>
    </w:p>
    <w:p w:rsidR="008B3920" w:rsidRPr="001E6DEE" w:rsidRDefault="008B3920" w:rsidP="008B392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устанавливает порядок и условия предоставления межбюджетных трансфертов из бюджета Брянского муниципального района бюджетам сельских поселений; </w:t>
      </w:r>
    </w:p>
    <w:p w:rsidR="008B3920" w:rsidRPr="001E6DEE" w:rsidRDefault="008B3920" w:rsidP="008B392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DEE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составляет для представления администрацией Брянского муниципального района в лице Главы администрации в Брянский районный Совет народных депутатов проекты решений Брянского районного Совета народных депутатов об исполнении бюджета муниципального района, необходимые документы, направляемые одновременно с ними;</w:t>
      </w:r>
    </w:p>
    <w:p w:rsidR="008B3920" w:rsidRPr="001E6DEE" w:rsidRDefault="008B3920" w:rsidP="008B392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6DEE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составляет для представления администрацией Брянского района в лице Главы администрации в Брянский районный Совет народных депутатов проекты решений Брянского районного Совета народных депутатов об установлении, изменении и отмене местных налогов и сборов муниципального района, установлении ставок и предоставлении льгот по данным налогам и сборам в соответствии с законодательством Российской Федерации о налогах и сборах;</w:t>
      </w:r>
      <w:proofErr w:type="gramEnd"/>
    </w:p>
    <w:p w:rsidR="008B3920" w:rsidRPr="001E6DEE" w:rsidRDefault="008B3920" w:rsidP="008B392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DE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разрабатывает порядок предоставления муниципальным учреждениям субсидий на иные цели;</w:t>
      </w:r>
    </w:p>
    <w:p w:rsidR="008B3920" w:rsidRPr="001E6DEE" w:rsidRDefault="008B3920" w:rsidP="008B392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DE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разрабатывает порядок ведения реестра расходных обязатель</w:t>
      </w:r>
      <w:proofErr w:type="gramStart"/>
      <w:r w:rsidRPr="001E6DEE">
        <w:rPr>
          <w:rFonts w:ascii="Times New Roman" w:eastAsia="Times New Roman" w:hAnsi="Times New Roman" w:cs="Times New Roman"/>
          <w:color w:val="000000"/>
          <w:sz w:val="24"/>
          <w:szCs w:val="24"/>
        </w:rPr>
        <w:t>ств Бр</w:t>
      </w:r>
      <w:proofErr w:type="gramEnd"/>
      <w:r w:rsidRPr="001E6DEE">
        <w:rPr>
          <w:rFonts w:ascii="Times New Roman" w:eastAsia="Times New Roman" w:hAnsi="Times New Roman" w:cs="Times New Roman"/>
          <w:color w:val="000000"/>
          <w:sz w:val="24"/>
          <w:szCs w:val="24"/>
        </w:rPr>
        <w:t>янского муниципального района;</w:t>
      </w:r>
    </w:p>
    <w:p w:rsidR="008B3920" w:rsidRPr="001E6DEE" w:rsidRDefault="008B3920" w:rsidP="008B392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DE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разрабатывает порядок разработки, реализации и оценки эффективности муниципальных программ района;</w:t>
      </w:r>
    </w:p>
    <w:p w:rsidR="008B3920" w:rsidRPr="001E6DEE" w:rsidRDefault="008B3920" w:rsidP="008B392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DE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разрабатывает прогноз социально-экономического развития Брянского района на очередной финансовый год, среднесрочный и долгосрочный периоды;</w:t>
      </w:r>
    </w:p>
    <w:p w:rsidR="008B3920" w:rsidRDefault="008B3920" w:rsidP="008B392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DEE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B83100" w:rsidRDefault="007D5A6D">
      <w:pPr>
        <w:ind w:firstLine="6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B83100" w:rsidRDefault="007D5A6D">
      <w:pPr>
        <w:ind w:firstLine="6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Постановлением администрации Брянского района от 12.10.2021 № 903 «О внутреннем муниципальном финансовом контроле» финансовое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управление админис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трации Брянского района определено органом внутреннего муниципального финансового контроля «Брянский муниципальный район». </w:t>
      </w:r>
    </w:p>
    <w:p w:rsidR="00B83100" w:rsidRDefault="007D5A6D">
      <w:pPr>
        <w:ind w:firstLine="6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Финансовое управление осуществляет полномочия внутреннего финансового контроля в соответствии с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п.269.2 Бюджетного кодекса Российско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й Федерации.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 </w:t>
      </w:r>
    </w:p>
    <w:p w:rsidR="00B83100" w:rsidRDefault="007D5A6D">
      <w:pPr>
        <w:ind w:firstLine="4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соответствии с постановлением администрации Брянского рай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она от 04.02.2014 № 258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 создании уполномоченного органа по организации закупок и определению  поставщиков (подрядчиков, исполнителей) для муниципальных заказчиков Брянского района» осуществляет функции заказчика и заключает муниципальные контракты по 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змещению заказов на поставку товаров, выполнение работ, оказание услуг. Осуществляет функции уполномоченного органа по размещению заказов на поставку товаров, выполнение работ, оказание услуг органов местного самоуправления муниципального района и сельских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поселений, муниципальных учреждений. Формирует конкурсную документацию, документацию об аукционе в электронной форме и извещение о запросе котировок на основании представленного заказчиком заказа. Размещает на официальном сайте конкурсную документацию, 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 документацию об аукционе в электронной форме, либо извещение о запросе котировок.</w:t>
      </w:r>
    </w:p>
    <w:p w:rsidR="00B83100" w:rsidRDefault="007D5A6D" w:rsidP="008B3920">
      <w:pPr>
        <w:ind w:firstLine="4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   Финансовые и хозяйственные операции по ведению учета осуществляются в соответствии с Бюджетным кодексом и дейс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твующей в учреждении учетной  политикой.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Бюджетный учет осуществляется  учреждениями согласно приказу Минфина России от 01.12.2010 N 157н "Об утверждении Единого плана счетов бухгалтерского учета для органов государственной власти (государственных органов)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применению" (Зарегистрировано в Минюсте России 30.12.2010 N 19452),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приказа Минфина России от 06.12.2010 N 162н "Об утверждении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Плана счетов бюджетного учета и Инструкции по его применению" (Зарегистрировано в Минюсте России 27.01.2011 N 19593).</w:t>
      </w:r>
    </w:p>
    <w:p w:rsidR="00B83100" w:rsidRDefault="007D5A6D">
      <w:pPr>
        <w:ind w:firstLine="2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r>
        <w:rPr>
          <w:rFonts w:ascii="Times New Roman" w:eastAsia="Times New Roman" w:hAnsi="Times New Roman" w:cs="Times New Roman"/>
          <w:color w:val="FFC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2023 году методом электронного аукциона было размещено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105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заказов на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умму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568 983 781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25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коп. (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Пятьсот шестьдесят восемь миллионов девятьсот восемьдесят три тысячи семьсот восемьдесят один  рубля 25 копеек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B83100" w:rsidRDefault="007D5A6D">
      <w:pPr>
        <w:ind w:firstLine="2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 них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заказ состоялось на сумму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495 400 289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83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коп. (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Четыреста девяносто пять  миллионов четыреста тыс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яч двести восемьдесят девять   рублей 83 копейки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и был заключен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муниципальный контракт на сумму         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442 791 996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руб.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89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коп. (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Четыреста сорок два миллиона семьсот девяносто одна тысяча девятьсот девяносто шесть рублей 89 копеек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B83100" w:rsidRDefault="007D5A6D">
      <w:pPr>
        <w:ind w:firstLine="2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Экономия составила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10,6%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52 608 292 руб.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94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коп. (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Пятьдесят два миллиона шестьсот восемь тысяч двести девяносто два рубля 94 копейки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B83100" w:rsidRDefault="007D5A6D">
      <w:pPr>
        <w:ind w:firstLine="2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 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Проведено 14 проверок целевого использования средств на осуществление первичного воинского учета на территориях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где отсутствуют военные комиссариаты, как органом внутреннего муниципального финансового контроля «Брянский муниципальный район», 3 проверки соблюдения законодательства РФ и иных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нормативно правовых актов о контрактной системе в сфере закупок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Снежская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/а,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Новодарковичская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с/а,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Глинищевская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с/а) и 6 проверок исполнения бюджетных полномочий в части организации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реализации мероприятий по внутреннему муниципальному финансовому контролю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Супоневская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с/а,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Мичуринская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с/а,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четырк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учреждения культуры).</w:t>
      </w:r>
    </w:p>
    <w:p w:rsidR="00B83100" w:rsidRDefault="007D5A6D" w:rsidP="008B3920">
      <w:pPr>
        <w:spacing w:after="240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Финансовое управление возглавляет заместитель главы администрации Брянского района - начальник финансового управления, назначаемый и освобождаемый от должности главой администрации Брянского района по согласованию с департаментом финансов Брянской области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– руководитель управления).</w:t>
      </w:r>
    </w:p>
    <w:p w:rsidR="00B83100" w:rsidRDefault="007D5A6D" w:rsidP="008B3920">
      <w:pPr>
        <w:spacing w:before="240" w:after="240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Arial Black" w:eastAsia="Arial Black" w:hAnsi="Arial Black" w:cs="Arial Black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Финансовое обеспечение деятельности финансового управления осуществляется в рамках средств, запланированных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утвержденных решением Брянского районного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Совета народных депутатов № 6-45-1 от 14.12.2022  «О бюджете Брянс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кого муниципального района на 2023 год и на плановый период 2024 и 2025 годов»  в сумме 30 719 771,00 руб. на 2023 год; 43 617 096,00 руб. на 2024год и  в сумме 57 777 363,47 руб. на 2025 год. В течение отчетного периода в бюджет вносились изменения, менял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ись основные параметры. С учетом изменений и дополнений финансовое обеспечение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 финансового управления администрации Брянского муниципального района Брянской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состоянию на 01.01.2024 года по плановым показателям составило: 32 232 111,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37 рублей.</w:t>
      </w:r>
    </w:p>
    <w:p w:rsidR="00B83100" w:rsidRDefault="007D5A6D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 Организационную структуру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финансового управления составляют руководство управления и структурные подразделения по основным направлениям (сферам) деятельности управления:</w:t>
      </w:r>
    </w:p>
    <w:p w:rsidR="00B83100" w:rsidRDefault="007D5A6D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         - аппарат управления - 2 единицы;</w:t>
      </w:r>
    </w:p>
    <w:p w:rsidR="00B83100" w:rsidRDefault="007D5A6D">
      <w:pPr>
        <w:ind w:left="6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отдел доходов - 4 единицы;</w:t>
      </w:r>
    </w:p>
    <w:p w:rsidR="00B83100" w:rsidRDefault="007D5A6D">
      <w:pPr>
        <w:ind w:left="6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бюджетный отдел - 6 единиц;</w:t>
      </w:r>
    </w:p>
    <w:p w:rsidR="00B83100" w:rsidRDefault="007D5A6D">
      <w:pPr>
        <w:ind w:left="6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отдел 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асчетов и муниципального заказа - 4 единицы;</w:t>
      </w:r>
    </w:p>
    <w:p w:rsidR="00B83100" w:rsidRDefault="007D5A6D">
      <w:pPr>
        <w:ind w:left="6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отдел бюджетного учета и консолидированной  отчетности - 5 единиц </w:t>
      </w:r>
    </w:p>
    <w:p w:rsidR="00B83100" w:rsidRDefault="007D5A6D">
      <w:pPr>
        <w:ind w:left="6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отдел экономического анализа - 5 единиц</w:t>
      </w:r>
    </w:p>
    <w:p w:rsidR="00B83100" w:rsidRDefault="007D5A6D">
      <w:pPr>
        <w:ind w:firstLine="6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Численность персонала учреждения по штатному расписанию на конец отчетного периода утверждена в количестве 26 должности, из которых:16 - муниципальных служащих, 10 - должностей не отнесенные к должностям муниципальной службы. </w:t>
      </w:r>
    </w:p>
    <w:p w:rsidR="00B83100" w:rsidRDefault="007D5A6D">
      <w:pPr>
        <w:ind w:firstLine="6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83100" w:rsidRDefault="007D5A6D">
      <w:pPr>
        <w:ind w:firstLine="6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Операции по исполнению бюджета осуществляются в автоматизированной системе «Смета-Смарт», «Бюджет-Смарт», «СУФД», «Свод-СМАРТ», «Кадры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КС», «Зарплата КС». В целях экономии бюджетных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дств в р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аботе применяется сетевое использование ПП «Консультант-Плюс» и доступ в интернет. С помощью программных средств "Астрал Отчет" отчетность в электронном виде передается в ФНС, СФР, Росстат.</w:t>
      </w:r>
    </w:p>
    <w:p w:rsidR="00B83100" w:rsidRDefault="007D5A6D">
      <w:pPr>
        <w:ind w:firstLine="6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мероприятиями по поддержанию технического состояния основных средств на надлежащем уровне и обеспечению их сохранности являются правильная эксплуатация и бережное отношение персонала к имуществу учреждения. </w:t>
      </w:r>
    </w:p>
    <w:p w:rsidR="00B83100" w:rsidRDefault="007D5A6D">
      <w:pPr>
        <w:ind w:firstLine="62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Анализ отчета об исполнении бюджета</w:t>
      </w:r>
      <w:r w:rsidR="008B39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субъектом бюджетной отчетности</w:t>
      </w:r>
    </w:p>
    <w:p w:rsidR="00B83100" w:rsidRDefault="007D5A6D">
      <w:pPr>
        <w:ind w:firstLine="62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B83100" w:rsidRDefault="007D5A6D">
      <w:pPr>
        <w:ind w:firstLine="62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</w:p>
    <w:p w:rsidR="00B83100" w:rsidRDefault="007D5A6D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     Бюджет муниципального образования «Брянский муниципальный район» на 2023 год и плановый период 2024 и 2025 годы утвержден решением Брянского районного Совета народных депутатов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6-45-1 от 14.12.2022  «О бюджете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Брянского муниципального района на 2023 год и на плановый период 2024 и 2025 годов»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9F9F9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течение года в решение вносились изменения.</w:t>
      </w:r>
    </w:p>
    <w:p w:rsidR="00B83100" w:rsidRDefault="007D5A6D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   В соответствии с решением о бюджете финансовое управление определено главным администратором доходов бюджета Брянского муниципального района, в том числе по неналоговым доходам. </w:t>
      </w:r>
    </w:p>
    <w:p w:rsidR="00B83100" w:rsidRDefault="007D5A6D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Общая сумма утвержденных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текущий финансовый год решением о бюджет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плановых показателей по доходам, начисление которых осуществляет финансовое управление, составило 607 135 429,04 руб. Исполнение доходов составило 656 072 053,60 руб. или 108,1% к прогнозу.</w:t>
      </w:r>
    </w:p>
    <w:p w:rsidR="00B83100" w:rsidRDefault="007D5A6D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92D050"/>
          <w:sz w:val="26"/>
          <w:szCs w:val="26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Финансовое управление администрации Брянского района в 2023 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ду являлась администратором следующих доходов:</w:t>
      </w:r>
    </w:p>
    <w:p w:rsidR="00B83100" w:rsidRDefault="007D5A6D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запланировано 43 399 839,04руб., поступило 43 399 839,04руб. из них:</w:t>
      </w:r>
    </w:p>
    <w:p w:rsidR="00B83100" w:rsidRDefault="007D5A6D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дотации бюджетам муниципальных районов на выравнива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ние бюджетной обеспеченности – 14 029 000,00руб.;</w:t>
      </w:r>
    </w:p>
    <w:p w:rsidR="00B83100" w:rsidRDefault="007D5A6D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дотации бюджетам муниципальных районов на поддержку мер по обеспечению сбалансированности бюджетов – 20 192 336,04руб.;</w:t>
      </w:r>
    </w:p>
    <w:p w:rsidR="00B83100" w:rsidRDefault="007D5A6D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- прочие дотации бюджетам муниципальных районов – 2 094 000,00руб.;</w:t>
      </w:r>
    </w:p>
    <w:p w:rsidR="00B83100" w:rsidRDefault="007D5A6D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- субвенции ме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стным бюджетам на выполнение передаваемых полномочий субъектов Российской Федерации -3 449 600,00руб.;</w:t>
      </w:r>
    </w:p>
    <w:p w:rsidR="00B83100" w:rsidRDefault="007D5A6D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-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 значения в соответствии с заключенными соглашениями – 233 263,00руб.;</w:t>
      </w:r>
    </w:p>
    <w:p w:rsidR="00B83100" w:rsidRDefault="007D5A6D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- Прочие межбюджетные трансферты, передаваемые бюджетам муниципальных районов -   3 401 640,00руб.</w:t>
      </w:r>
    </w:p>
    <w:p w:rsidR="00B83100" w:rsidRDefault="007D5A6D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 Показатели по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 выполнению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плана отражены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ф.0503164 «Сведениях об исполнении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бюджета».</w:t>
      </w:r>
    </w:p>
    <w:p w:rsidR="00B83100" w:rsidRDefault="007D5A6D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    Исполнение расходной части бюджета составило 31 969 343,76руб. или 99,2 % от плановых годовых назначений. В сравнении с прошлым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отчетным периодом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расходы уменьшились  на 4 %.  или  на  1 319 383,96 руб. </w:t>
      </w:r>
    </w:p>
    <w:p w:rsidR="00B83100" w:rsidRDefault="007D5A6D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     Утвержденные бюджетные ассигнования по разделу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0100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Общегосударственные вопросы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" составляют 18 305 917,68руб., исполнено  18 152 787,07 руб. или 99,2%.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Расходы были произведены на следующие цели:</w:t>
      </w:r>
    </w:p>
    <w:p w:rsidR="00B83100" w:rsidRDefault="007D5A6D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102 0106 7000015880 000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 Гранты муниципальным районам (муниципальным округам, городским округам) в целях содействия достижению и (или) поощрения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достижения наилучших значений показателей деятел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ьности органов местного самоуправления муниципальных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районов (муниципальных округов, городских округов)»</w:t>
      </w:r>
    </w:p>
    <w:p w:rsidR="00B83100" w:rsidRDefault="007D5A6D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598397,75 руб. исполнение составило 100%.</w:t>
      </w:r>
    </w:p>
    <w:p w:rsidR="00B83100" w:rsidRDefault="007D5A6D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- 102 0106 7000055490 000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"Расходы на выплаты персоналу в целях обеспечения выполнения функций государственн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ыми (муниципальными) органами, казенными учреждениями, органами управления государственными внебюджетными фондами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утвержденные бюджетные ассигнования составляют</w:t>
      </w:r>
    </w:p>
    <w:p w:rsidR="00B83100" w:rsidRDefault="007D5A6D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709 668,89 руб. исполнение составило 100%. </w:t>
      </w:r>
    </w:p>
    <w:p w:rsidR="00B83100" w:rsidRDefault="007D5A6D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-102 0106 7000083420 000 «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Гранты муниципальным районам (муниципальным округам, городским округам) в целях содействия достижению и (или) поощрени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достижения наилучших значений показателей деятельности органов местного самоуправления муниципальных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районов (муниципальных округов, городских округов)»</w:t>
      </w:r>
    </w:p>
    <w:p w:rsidR="00B83100" w:rsidRDefault="007D5A6D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467159,05 руб. исполнение составило 100%.</w:t>
      </w:r>
    </w:p>
    <w:p w:rsidR="00B83100" w:rsidRDefault="007D5A6D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- 102 0106 0240280040 000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"Руководство и управление в сфере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установленных функций органов местного самоуправления"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утвержденные бюджетные ассигнования составляют 18 305 917,68руб, исполнение 18 152 787,07руб.</w:t>
      </w:r>
    </w:p>
    <w:p w:rsidR="00B83100" w:rsidRDefault="007D5A6D" w:rsidP="00CC0453">
      <w:pP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- 102 0106 0240383230 00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"Развитие информационного общества и формирование электронного правительства"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утвержденные бюджетные ассигнования составляют  645 968,00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исполнение 536 331,00руб. </w:t>
      </w:r>
    </w:p>
    <w:p w:rsidR="00B83100" w:rsidRDefault="007D5A6D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102 0106 7000015900 000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"Стимулирование муниципальных районов (муниципальных округов, городских округов) по результатам мониторинга оценки качества организации и осуществления бюджетного процесса"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исполнено 284 201,83 ру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б. или 100%.</w:t>
      </w:r>
    </w:p>
    <w:p w:rsidR="00B83100" w:rsidRDefault="007D5A6D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 102  0106  7000055490   000  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"Достижение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показателей деятельности органов исполнительной власти субъектов Российской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Федерации"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исполнено 452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946,15 руб. или 100%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C0453" w:rsidRDefault="007D5A6D" w:rsidP="00CC0453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Утвержденные бюджетные ассигнования по разделу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1300 "Обслуживание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государственного  и муниципального долга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" составили 2 334 916,21 руб.,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 составило 2 334 915,34 или 100 %. </w:t>
      </w:r>
    </w:p>
    <w:p w:rsidR="00B83100" w:rsidRDefault="00B83100" w:rsidP="00CC0453">
      <w:pPr>
        <w:tabs>
          <w:tab w:val="left" w:pos="6712"/>
        </w:tabs>
        <w:ind w:firstLine="720"/>
        <w:jc w:val="both"/>
        <w:rPr>
          <w:color w:val="000000"/>
        </w:rPr>
      </w:pPr>
    </w:p>
    <w:p w:rsidR="00B83100" w:rsidRDefault="007D5A6D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Межбюджетные трансферт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 общего хара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ктера бюджетам бюджетной системы Российской Федерации, по разделу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1400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утверждены  в объеме 12 379 869,00 руб., исполнены в полном объеме. </w:t>
      </w:r>
    </w:p>
    <w:p w:rsidR="00B83100" w:rsidRDefault="007D5A6D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- 102 1401 0240415840 000 "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Дотации на выравнивание бюджетной обеспеченности поселений за счет средств областного бюд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жета"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плановые назначения составили 3 118 000,00 руб. Исполнение 100%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</w:p>
    <w:p w:rsidR="00B83100" w:rsidRDefault="007D5A6D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ДОМАШОВСКАЯ СЕЛЬСКАЯ АДМИНИСТРАЦИЯ - 238 000,00 руб.</w:t>
      </w:r>
    </w:p>
    <w:p w:rsidR="00B83100" w:rsidRDefault="007D5A6D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НЕТЬИНСКАЯ СЕЛЬСКАЯ АДМИНИСТРАЦИЯ - 449 000,00 руб.</w:t>
      </w:r>
    </w:p>
    <w:p w:rsidR="00B83100" w:rsidRDefault="007D5A6D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- НОВОСЕЛЬСКАЯ СЕЛЬСКАЯ АДМИНИСТРАЦИЯ - 455 000,00 руб.</w:t>
      </w:r>
    </w:p>
    <w:p w:rsidR="00B83100" w:rsidRDefault="007D5A6D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- ПАЛЬЦОВСКАЯ СЕЛ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ЬСКАЯ АДМИНИСТРАЦИЯ - 818 000,00 руб.</w:t>
      </w:r>
    </w:p>
    <w:p w:rsidR="00B83100" w:rsidRDefault="007D5A6D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СТЕКЛЯННОРАДИЦКАЯ СЕЛЬСКАЯ АДМИНИСТРАЦИЯ - 841 000,00 руб.</w:t>
      </w:r>
    </w:p>
    <w:p w:rsidR="00B83100" w:rsidRDefault="007D5A6D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- ЧЕРНЕТОВСКАЯ СЕЛЬСКАЯ АДМИНИСТРАЦИЯ - 317 000,00 руб.</w:t>
      </w:r>
    </w:p>
    <w:p w:rsidR="00B83100" w:rsidRDefault="007D5A6D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83100" w:rsidRDefault="007D5A6D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- 102 1401 0240483010 000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"Дотации на выравнивание бюджетной обеспеченности поселений за счет средств Брянского муниципального района"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плановые назначения составили 2 714 000,00 руб. Исполнение 100%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</w:p>
    <w:p w:rsidR="00B83100" w:rsidRDefault="007D5A6D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ДОМАШОВСКАЯ СЕЛЬСКАЯ АДМИНИСТРАЦИЯ - 222 000,00 руб.</w:t>
      </w:r>
    </w:p>
    <w:p w:rsidR="00B83100" w:rsidRDefault="007D5A6D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НЕТЬИНСКАЯ СЕЛЬСКАЯ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- 481 000,00 руб.</w:t>
      </w:r>
    </w:p>
    <w:p w:rsidR="00B83100" w:rsidRDefault="007D5A6D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НОВОСЕЛЬСКАЯ СЕЛЬСКАЯ АДМИНИСТРАЦИЯ - 466 000,00 руб.</w:t>
      </w:r>
    </w:p>
    <w:p w:rsidR="00B83100" w:rsidRDefault="007D5A6D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ПАЛЬЦОВСКАЯ СЕЛЬСКАЯ АДМИНИСТРАЦИЯ - 597 000,00 руб.</w:t>
      </w:r>
    </w:p>
    <w:p w:rsidR="00B83100" w:rsidRDefault="007D5A6D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СТЕКЛЯННОРАДИЦКАЯ СЕЛЬСКАЯ АДМИНИСТРАЦИЯ - 623 000,00 руб.</w:t>
      </w:r>
    </w:p>
    <w:p w:rsidR="00B83100" w:rsidRDefault="007D5A6D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ЧЕРНЕТОВСКАЯ СЕЛЬСКАЯ АДМИНИСТРАЦИЯ - 325 000,00 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уб.</w:t>
      </w:r>
    </w:p>
    <w:p w:rsidR="00B83100" w:rsidRDefault="007D5A6D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83100" w:rsidRDefault="007D5A6D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- 102 1402 0240483020 000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"Поддержка мер по обеспечению сбалансированности бюджетов поселений"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плановые назначения составили </w:t>
      </w:r>
    </w:p>
    <w:p w:rsidR="00B83100" w:rsidRDefault="007D5A6D">
      <w:pPr>
        <w:ind w:firstLine="720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5 000 000,00 руб. Исполнение составило 100%):</w:t>
      </w:r>
      <w:proofErr w:type="gramEnd"/>
    </w:p>
    <w:p w:rsidR="00B83100" w:rsidRDefault="007D5A6D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-ЖУРИНИЧСКАЯ СЕЛЬСКАЯ АДМИНИСТРАЦИЯ – 2 409 418,49руб.</w:t>
      </w:r>
    </w:p>
    <w:p w:rsidR="00B83100" w:rsidRDefault="007D5A6D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-ДОМАШОВСКАЯ СЕЛЬСКАЯ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– 410 555,00 руб.</w:t>
      </w:r>
    </w:p>
    <w:p w:rsidR="00B83100" w:rsidRDefault="007D5A6D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ПАЛЬЦОВСКАЯ СЕЛЬСКАЯ АДМИНИСТРАЦИЯ – 998 867,70руб.</w:t>
      </w:r>
    </w:p>
    <w:p w:rsidR="00B83100" w:rsidRDefault="007D5A6D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ЧЕРНЕТОВСКАЯ СЕЛЬСКАЯ АДМИНИСТРАЦИЯ – 1 181 158,81руб.</w:t>
      </w:r>
    </w:p>
    <w:p w:rsidR="00B83100" w:rsidRDefault="007D5A6D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сравнению с прошлым годом расходы уменьшились на 1 547 869,00 руб.</w:t>
      </w:r>
    </w:p>
    <w:p w:rsidR="00B83100" w:rsidRDefault="007D5A6D">
      <w:pP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Платные услуги финансовое управление админ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истрации Брянского района не оказывает. </w:t>
      </w:r>
    </w:p>
    <w:p w:rsidR="00B83100" w:rsidRDefault="007D5A6D">
      <w:pPr>
        <w:ind w:firstLine="6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83100" w:rsidRDefault="007D5A6D">
      <w:pPr>
        <w:ind w:firstLine="62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Анализ показателей бухгалтерской отчетности субъекта бюджетной отчетности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B83100" w:rsidRDefault="007D5A6D" w:rsidP="00CC0453">
      <w:pPr>
        <w:ind w:firstLine="6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01.01.2023 стоимость имущества муници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пальной собственности, закрепленного на праве оперативного управления за финансовым управлением администрации Брянского района –  3 918 442,37 руб., на конец отчетного года              4 355 127,07 рублей. </w:t>
      </w:r>
    </w:p>
    <w:p w:rsidR="00B83100" w:rsidRDefault="007D5A6D">
      <w:pPr>
        <w:ind w:firstLine="620"/>
        <w:jc w:val="both"/>
        <w:rPr>
          <w:color w:val="000000"/>
        </w:rPr>
      </w:pPr>
      <w:bookmarkStart w:id="1" w:name="_dx_frag_StartFragment"/>
      <w:bookmarkEnd w:id="1"/>
      <w:r>
        <w:rPr>
          <w:rFonts w:ascii="Microsoft Sans Serif" w:eastAsia="Microsoft Sans Serif" w:hAnsi="Microsoft Sans Serif" w:cs="Microsoft Sans Serif"/>
          <w:color w:val="405965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ебиторская задолженность на начало отчетного периода по счету: 120545000 – 12 529 659,58руб, из них: 10 911 499,49 руб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Россельхознадзора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Брянской и Смоленской областям, 1 618 160,09 руб.-МО МВД России "Брянский". Остаток на конец периода сос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тавил 12 313 402,83руб, из них: 10 911 499,49 руб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Россельхознадзора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Брянской и Смоленской областям, 1 403 654,97 руб.-МО МВД России "Брянский". </w:t>
      </w:r>
    </w:p>
    <w:p w:rsidR="00B83100" w:rsidRDefault="007D5A6D">
      <w:pPr>
        <w:ind w:firstLine="620"/>
        <w:jc w:val="both"/>
        <w:rPr>
          <w:color w:val="000000"/>
        </w:rPr>
      </w:pPr>
      <w:r>
        <w:rPr>
          <w:rFonts w:ascii="Microsoft Sans Serif" w:eastAsia="Microsoft Sans Serif" w:hAnsi="Microsoft Sans Serif" w:cs="Microsoft Sans Serif"/>
          <w:color w:val="405965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Кредиторская задолженность на начало периода по счету: 120545000 –   </w:t>
      </w:r>
    </w:p>
    <w:p w:rsidR="00B83100" w:rsidRDefault="007D5A6D">
      <w:pPr>
        <w:ind w:firstLine="6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8 035,64 рублей (Управлен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Россельхознадзора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Брянской и Смоленской областям). Остаток на конец периода отсутствует. </w:t>
      </w:r>
    </w:p>
    <w:p w:rsidR="00B83100" w:rsidRDefault="007D5A6D">
      <w:pPr>
        <w:ind w:firstLine="6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120511000 – 178 991,22 руб. (по данным отчетов федеральной налоговой службы)</w:t>
      </w:r>
    </w:p>
    <w:p w:rsidR="00B83100" w:rsidRDefault="007D5A6D">
      <w:pPr>
        <w:ind w:firstLine="6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120512000 - 55,58 (по данным отчетов федеральной налоговой службы)</w:t>
      </w:r>
    </w:p>
    <w:p w:rsidR="00B83100" w:rsidRDefault="007D5A6D">
      <w:pPr>
        <w:ind w:firstLine="6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130221000 – 5 04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2,15 рублей сложилась в виду задолженности ПАО «Ростелеком» за услуги связи за декабрь 2023г. </w:t>
      </w:r>
    </w:p>
    <w:p w:rsidR="00B83100" w:rsidRDefault="007D5A6D">
      <w:pPr>
        <w:ind w:firstLine="620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Счёт 140149000 "Доходы будущих периодов" начислена кредиторская задолженность на 01.01.2024г в сумме 12 562 086,00 руб. Указанная сумма складывается - Субвенция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местным бюджетам на выполнение передаваемых полномочий субъектов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Российиской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Федерации на период 2024 -2026 года в сумме      11 865 000,00 рублей, а также Межбюджетные трансферты, передаваемые бюджетам муниципальных районов из бюджетов поселений на осущес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твление части полномочий по решению вопросов местного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значения в соответствии с заключенными соглашениями на 2024-2026 года в сумме 697 086,00 руб.</w:t>
      </w:r>
    </w:p>
    <w:p w:rsidR="00B83100" w:rsidRDefault="007D5A6D">
      <w:pPr>
        <w:ind w:firstLine="6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Счёт 140160000 "Резервы предстоящих расходов" начислены резервы предстоящих отпусков по состоянию на 1 январ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 2024 год в сумме 687 509,51 рублей, в том числе отпускные (КОСГУ 211) – 528 041,10 руб. и начисления на отпускные (КОСГУ 213) – 159 468,41 рублей.</w:t>
      </w:r>
    </w:p>
    <w:p w:rsidR="00B83100" w:rsidRDefault="007D5A6D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Прочие вопросы деятельности субъекта бюджетной отчетнос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ти</w:t>
      </w:r>
    </w:p>
    <w:p w:rsidR="00B83100" w:rsidRDefault="007D5A6D">
      <w:pPr>
        <w:ind w:firstLine="620"/>
        <w:jc w:val="center"/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B83100" w:rsidRDefault="007D5A6D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Ведение бухгалтерского учета осуществляет отдел бюджетного учета и консолидированной отчетности.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Учет осуществляется согласно приказу Минфина России от 01.12.2010 N 157н "Об утверждении Единого плана счетов бухгалтерского учета для органов государств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применению" (Зарегистрировано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Минюсте России 30.12.2010 N 19452), приказа Минфина России от 06.12.2010 N 162н "Об утверждении Плана счетов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бюджетного учета и Инструкции по его применению" (Зарегистрировано в Минюсте России 27.01.2011 N 19593), федеральными стандартами бухгалтерского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учета для организаций государственного сектора</w:t>
      </w:r>
    </w:p>
    <w:p w:rsidR="00B83100" w:rsidRDefault="007D5A6D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Составление и предоставление бюджетной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отчетности осуществляется в соответствии с требованиями </w:t>
      </w:r>
      <w:hyperlink r:id="rId5" w:anchor="/document/99/902254657/XA00LVS2MC/">
        <w:r>
          <w:rPr>
            <w:rStyle w:val="a4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 xml:space="preserve">Инструкции о порядке 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составления и представления годовой, квартальной и месячной отчетности об исполнении бюджетов бюджетной системы РФ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утвержденной </w:t>
      </w:r>
      <w:hyperlink r:id="rId6" w:anchor="/document/99/902254657/">
        <w:r>
          <w:rPr>
            <w:rStyle w:val="a4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 xml:space="preserve">приказом Министерства финансов </w:t>
        </w:r>
        <w:proofErr w:type="gramStart"/>
        <w:r>
          <w:rPr>
            <w:rStyle w:val="a4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Р</w:t>
        </w:r>
        <w:proofErr w:type="gramEnd"/>
        <w:r>
          <w:rPr>
            <w:rStyle w:val="a4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 xml:space="preserve"> Ф от 28.12.2010 № 1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91н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 с изменениями и дополнениями.</w:t>
      </w:r>
    </w:p>
    <w:p w:rsidR="00B83100" w:rsidRDefault="007D5A6D">
      <w:pPr>
        <w:ind w:left="-240" w:right="-380" w:firstLine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Использованные в 2023 году особенности отражения в бюджетном учёте операций с активами и обязательствами представлены в Таблице №4 "Сведения об особенностях ведения бюджетного учёта".</w:t>
      </w:r>
    </w:p>
    <w:p w:rsidR="00B83100" w:rsidRDefault="007D5A6D">
      <w:pPr>
        <w:ind w:firstLine="6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отношении использования бюджетных средств и муниципального имущества Администрации Брянского района в 2023 году проведены внешние контрольные мероприятия: Контрольно-счетной палатой Брянского района проводилось контрольное мероприятие «Заключение по годо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вому отчету». </w:t>
      </w:r>
    </w:p>
    <w:p w:rsidR="00B83100" w:rsidRDefault="007D5A6D">
      <w:pPr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подготовки к формированию годовой бюджетной отчетности проведены инвентаризации, в результате которых излишки и недостачи не выявлены, в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связи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чем Таблица 6 не заполняется.</w:t>
      </w:r>
    </w:p>
    <w:p w:rsidR="00B83100" w:rsidRDefault="007D5A6D">
      <w:pPr>
        <w:ind w:firstLine="6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83100" w:rsidRDefault="007D5A6D">
      <w:pPr>
        <w:ind w:firstLine="6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83100" w:rsidRDefault="007D5A6D">
      <w:pPr>
        <w:ind w:firstLine="6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83100" w:rsidRDefault="007D5A6D">
      <w:pP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 </w:t>
      </w:r>
    </w:p>
    <w:p w:rsidR="00B83100" w:rsidRDefault="007D5A6D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B83100" w:rsidRDefault="007D5A6D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:rsidR="00B83100" w:rsidRDefault="007D5A6D">
      <w:r>
        <w:t> </w:t>
      </w:r>
    </w:p>
    <w:p w:rsidR="00B83100" w:rsidRDefault="007D5A6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B83100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00"/>
    <w:rsid w:val="007D5A6D"/>
    <w:rsid w:val="008B3920"/>
    <w:rsid w:val="00B83100"/>
    <w:rsid w:val="00CC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5" Type="http://schemas.openxmlformats.org/officeDocument/2006/relationships/hyperlink" Target="https://www.gosfinans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Молодовская</dc:creator>
  <cp:lastModifiedBy>Молодовская</cp:lastModifiedBy>
  <cp:revision>4</cp:revision>
  <dcterms:created xsi:type="dcterms:W3CDTF">2024-05-29T12:18:00Z</dcterms:created>
  <dcterms:modified xsi:type="dcterms:W3CDTF">2024-05-29T12:19:00Z</dcterms:modified>
</cp:coreProperties>
</file>